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864" w14:textId="77777777" w:rsidR="00F15799" w:rsidRPr="00F15799" w:rsidRDefault="00F15799" w:rsidP="00F1579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Недопустими са предприятия с основна икономическа дейност в една от следните сфери:</w:t>
      </w:r>
    </w:p>
    <w:p w14:paraId="4B16FE34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сектор А  „Селско, горско и рибно стопанство“;</w:t>
      </w:r>
    </w:p>
    <w:p w14:paraId="4C22DD9E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сектор В  „Добивна промишленост“;</w:t>
      </w:r>
    </w:p>
    <w:p w14:paraId="709CD03C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сектор F  „Строителство“;</w:t>
      </w:r>
    </w:p>
    <w:p w14:paraId="4AED85D5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сектор Р „Образование“;</w:t>
      </w:r>
    </w:p>
    <w:p w14:paraId="153415EC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от сектор Q „Хуманно здравеопазване и социална работа“ – раздел 87 „Медико-социални грижи с настаняване“ и раздел 88 „Социална работа без настаняване“.</w:t>
      </w:r>
    </w:p>
    <w:p w14:paraId="0A39B489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от сектор J „Създаване и разпространение на информация и творчески продукти, далекосъобщения“ – раздел 62 „Дейности в областта на информационните технологии“ и раздел 63 „Информационни услуги“</w:t>
      </w:r>
    </w:p>
    <w:p w14:paraId="62CFAF47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t>Сектор С „Преработваща промишленост“- раздел 10 „Производство на хранителни продукти” и раздел 11 „Производство на напитки”, както следва: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10.1 „Производство и преработка на месо; производство на месни продукти, без готови ястия”;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10.2. „Преработка и консервиране на риба и други водни животни, без готови ястия”;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10.3 „Преработка и консервиране на плодове и зеленчуци, без готови ястия”;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10.4. „Производство на растителни и животински масла и мазнини”;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10.5. „Производство на мляко и млечни продукти”;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10.6. „Производство на мелничарски продукти, нишесте и нишестени продукти”;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10.81. „Производство на захар”;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10.83. „Преработка на кафе и чай”;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 xml:space="preserve">– 10.84. „Производство на хранителни подправки и </w:t>
      </w:r>
      <w:proofErr w:type="spellStart"/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t>овкусители</w:t>
      </w:r>
      <w:proofErr w:type="spellEnd"/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t>“;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10.91. „Производство на готови храни за животни”;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11.02. „Производство на вина от грозде”;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11.03. „Производство на други ферментирали напитки”;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  <w:br/>
        <w:t>– 11.06. „Производство на малц”.</w:t>
      </w: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br/>
      </w:r>
    </w:p>
    <w:p w14:paraId="548429E2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 xml:space="preserve">Недопустим за подкрепа е и код С16.10 „Разкрояване, рендосване и импрегниране на дървен материал“ от КИД-2008, с изключение на производството на </w:t>
      </w:r>
      <w:proofErr w:type="spellStart"/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несглобени</w:t>
      </w:r>
      <w:proofErr w:type="spellEnd"/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 дървени паркетни дъски.</w:t>
      </w:r>
    </w:p>
    <w:p w14:paraId="6D479CF0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 xml:space="preserve">Производството на дърва за горене, изделия от корк, слама и материали за плетене, както и производството на </w:t>
      </w:r>
      <w:proofErr w:type="spellStart"/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пелети</w:t>
      </w:r>
      <w:proofErr w:type="spellEnd"/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 xml:space="preserve"> (които са част от код С16.29) са недопустими </w:t>
      </w:r>
    </w:p>
    <w:p w14:paraId="6F5C9B38" w14:textId="77777777" w:rsidR="00F15799" w:rsidRPr="00F15799" w:rsidRDefault="00F15799" w:rsidP="00F1579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val="bg-BG"/>
        </w:rPr>
      </w:pPr>
      <w:r w:rsidRPr="00F15799">
        <w:rPr>
          <w:rFonts w:ascii="inherit" w:eastAsia="Times New Roman" w:hAnsi="inherit" w:cs="Times New Roman"/>
          <w:color w:val="7A7A7A"/>
          <w:sz w:val="21"/>
          <w:szCs w:val="21"/>
          <w:bdr w:val="none" w:sz="0" w:space="0" w:color="auto" w:frame="1"/>
          <w:lang w:val="bg-BG"/>
        </w:rPr>
        <w:t>някои други изключения – свържете се с нас за повече информация</w:t>
      </w:r>
    </w:p>
    <w:p w14:paraId="44755EF3" w14:textId="13A1F378" w:rsidR="008B118B" w:rsidRPr="00F15799" w:rsidRDefault="008B118B" w:rsidP="00F15799">
      <w:pPr>
        <w:rPr>
          <w:lang w:val="bg-BG"/>
        </w:rPr>
      </w:pPr>
    </w:p>
    <w:sectPr w:rsidR="008B118B" w:rsidRPr="00F1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EF6"/>
    <w:multiLevelType w:val="multilevel"/>
    <w:tmpl w:val="D28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313A2"/>
    <w:multiLevelType w:val="multilevel"/>
    <w:tmpl w:val="C30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92"/>
    <w:rsid w:val="001621FD"/>
    <w:rsid w:val="008B118B"/>
    <w:rsid w:val="00F15799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9BAE"/>
  <w15:chartTrackingRefBased/>
  <w15:docId w15:val="{E6EF9889-62A5-42A4-9EC9-43ED8A1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8803D62E14744853CFE52AC2B6A5A" ma:contentTypeVersion="22" ma:contentTypeDescription="Създаване на нов документ" ma:contentTypeScope="" ma:versionID="3356ad5f72c66235698e011a96211e5a">
  <xsd:schema xmlns:xsd="http://www.w3.org/2001/XMLSchema" xmlns:xs="http://www.w3.org/2001/XMLSchema" xmlns:p="http://schemas.microsoft.com/office/2006/metadata/properties" xmlns:ns2="040a8d32-ca8a-45ce-8b20-e27d61c1b15a" xmlns:ns3="a1a53da7-7739-4e20-94b0-9e004d0a3684" targetNamespace="http://schemas.microsoft.com/office/2006/metadata/properties" ma:root="true" ma:fieldsID="f29ff6a84c3a2a166b6cdd6480e534ec" ns2:_="" ns3:_="">
    <xsd:import namespace="040a8d32-ca8a-45ce-8b20-e27d61c1b15a"/>
    <xsd:import namespace="a1a53da7-7739-4e20-94b0-9e004d0a3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a8d32-ca8a-45ce-8b20-e27d61c1b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ec33a31f-2291-4e9e-a1c9-73a8db232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3da7-7739-4e20-94b0-9e004d0a3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cee4b4-ed0c-4128-9be6-9152dbaaaf71}" ma:internalName="TaxCatchAll" ma:showField="CatchAllData" ma:web="a1a53da7-7739-4e20-94b0-9e004d0a3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E9AC-ACFC-4CDE-8FA5-235AF1C6C28A}"/>
</file>

<file path=customXml/itemProps2.xml><?xml version="1.0" encoding="utf-8"?>
<ds:datastoreItem xmlns:ds="http://schemas.openxmlformats.org/officeDocument/2006/customXml" ds:itemID="{087A9E9A-73B5-40E7-96E4-6CE81CFE9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Bancheva</dc:creator>
  <cp:keywords/>
  <dc:description/>
  <cp:lastModifiedBy>Svetoslava Bancheva</cp:lastModifiedBy>
  <cp:revision>2</cp:revision>
  <dcterms:created xsi:type="dcterms:W3CDTF">2022-11-11T08:55:00Z</dcterms:created>
  <dcterms:modified xsi:type="dcterms:W3CDTF">2022-11-11T08:57:00Z</dcterms:modified>
</cp:coreProperties>
</file>